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2024年海南省政协办公厅部门预算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海南省政协办公厅2024年部门预算表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海南省政协办公厅2024年部门预算情况说明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海南省政协办公厅部门概况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640"/>
        <w:rPr>
          <w:rFonts w:ascii="黑体" w:hAnsi="黑体" w:eastAsia="黑体" w:cs="仿宋_GB2312"/>
          <w:sz w:val="32"/>
          <w:szCs w:val="32"/>
        </w:rPr>
      </w:pPr>
      <w:r>
        <w:rPr>
          <w:rFonts w:hint="eastAsia" w:ascii="仿宋_GB2312" w:hAnsi="ˎ̥" w:eastAsia="仿宋_GB2312"/>
          <w:sz w:val="32"/>
          <w:szCs w:val="32"/>
        </w:rPr>
        <w:t>海南省政协办公厅是省政协的综合办事机构，主要职能是综合保障省政协履行政治协商、民主监督、参政议政职能。政治协商是对国家大政方针和地方的重要举措以及经济建设、政治建设、文化建设、社会建设、生态文明建设中的重要问题，在决策之前和决策实施之中进行协商。民主监督是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参政议政是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纳入省政协办公厅2024年部门预算编制范围的预算单位包括：</w:t>
      </w:r>
    </w:p>
    <w:p>
      <w:pPr>
        <w:ind w:firstLine="640" w:firstLineChars="200"/>
        <w:rPr>
          <w:rFonts w:ascii="仿宋_GB2312" w:hAnsi="ˎ̥" w:eastAsia="仿宋_GB2312"/>
          <w:sz w:val="32"/>
          <w:szCs w:val="32"/>
        </w:rPr>
      </w:pPr>
      <w:r>
        <w:rPr>
          <w:rFonts w:hint="eastAsia" w:ascii="仿宋_GB2312" w:hAnsi="ˎ̥" w:eastAsia="仿宋_GB2312"/>
          <w:sz w:val="32"/>
          <w:szCs w:val="32"/>
        </w:rPr>
        <w:t>1.海南省政协办公厅本级</w:t>
      </w:r>
    </w:p>
    <w:p>
      <w:pPr>
        <w:ind w:firstLine="640" w:firstLineChars="200"/>
        <w:rPr>
          <w:rFonts w:ascii="仿宋_GB2312" w:hAnsi="ˎ̥" w:eastAsia="仿宋_GB2312"/>
          <w:sz w:val="32"/>
          <w:szCs w:val="32"/>
        </w:rPr>
      </w:pPr>
      <w:r>
        <w:rPr>
          <w:rFonts w:hint="eastAsia" w:ascii="仿宋_GB2312" w:hAnsi="ˎ̥" w:eastAsia="仿宋_GB2312"/>
          <w:sz w:val="32"/>
          <w:szCs w:val="32"/>
        </w:rPr>
        <w:t>2.海南省政协信息中心</w:t>
      </w:r>
    </w:p>
    <w:p>
      <w:pPr>
        <w:ind w:firstLine="640" w:firstLineChars="200"/>
        <w:rPr>
          <w:rFonts w:ascii="仿宋_GB2312" w:hAnsi="黑体" w:eastAsia="仿宋_GB2312" w:cs="仿宋_GB2312"/>
          <w:sz w:val="32"/>
          <w:szCs w:val="32"/>
        </w:rPr>
      </w:pPr>
      <w:r>
        <w:rPr>
          <w:rFonts w:hint="eastAsia" w:ascii="仿宋_GB2312" w:hAnsi="ˎ̥" w:eastAsia="仿宋_GB2312"/>
          <w:sz w:val="32"/>
          <w:szCs w:val="32"/>
        </w:rPr>
        <w:t>3.海南省政协书画室</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海南省政协办公厅2024年部门预算表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海南省政协办公厅2024年部门预算情况说明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一、关于海南省政协办公厅部门2024年财政拨款收支预算情况的总体说明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财政拨款收支总预算6057.17万元，比上年预算数</w:t>
      </w:r>
      <w:r>
        <w:rPr>
          <w:rFonts w:hint="eastAsia" w:ascii="仿宋_GB2312" w:hAnsi="黑体" w:eastAsia="仿宋_GB2312" w:cs="仿宋_GB2312"/>
          <w:sz w:val="32"/>
          <w:szCs w:val="32"/>
        </w:rPr>
        <w:t>增加1270.56</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基本支出增加538.19万元；二是新增委员联系界别群众活动、共建自贸港委员在行动、网络协商、海南省智慧政协平台二期等项目，项目支出增加732.37万元</w:t>
      </w:r>
      <w:r>
        <w:rPr>
          <w:rFonts w:hint="eastAsia" w:ascii="仿宋_GB2312" w:hAnsi="黑体" w:eastAsia="仿宋_GB2312" w:cs="仿宋_GB2312"/>
          <w:sz w:val="32"/>
          <w:szCs w:val="32"/>
        </w:rPr>
        <w:t>。</w:t>
      </w:r>
      <w:r>
        <w:rPr>
          <w:rFonts w:hint="eastAsia" w:ascii="仿宋_GB2312" w:hAnsi="黑体" w:eastAsia="仿宋_GB2312"/>
          <w:sz w:val="32"/>
          <w:szCs w:val="32"/>
        </w:rPr>
        <w:t>其中，收入总计6057.17万元，包括一般公共预算本年收入6057.17万元、政府性基金预算资金0万元、上年结转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万元；支出总计6057.17万元，包括一般公共服务支出</w:t>
      </w:r>
      <w:r>
        <w:rPr>
          <w:rFonts w:hint="eastAsia" w:ascii="仿宋_GB2312" w:hAnsi="黑体" w:eastAsia="仿宋_GB2312" w:cs="仿宋_GB2312"/>
          <w:sz w:val="32"/>
          <w:szCs w:val="32"/>
        </w:rPr>
        <w:t>4836.33</w:t>
      </w:r>
      <w:r>
        <w:rPr>
          <w:rFonts w:hint="eastAsia" w:ascii="仿宋_GB2312" w:hAnsi="黑体" w:eastAsia="仿宋_GB2312"/>
          <w:sz w:val="32"/>
          <w:szCs w:val="32"/>
        </w:rPr>
        <w:t>万元、教育支出</w:t>
      </w:r>
      <w:r>
        <w:rPr>
          <w:rFonts w:ascii="仿宋_GB2312" w:hAnsi="黑体" w:eastAsia="仿宋_GB2312"/>
          <w:sz w:val="32"/>
          <w:szCs w:val="32"/>
        </w:rPr>
        <w:t>136.55</w:t>
      </w:r>
      <w:r>
        <w:rPr>
          <w:rFonts w:hint="eastAsia" w:ascii="仿宋_GB2312" w:hAnsi="黑体" w:eastAsia="仿宋_GB2312"/>
          <w:sz w:val="32"/>
          <w:szCs w:val="32"/>
        </w:rPr>
        <w:t>万元、社会保障和就业支出706.31万元、卫生健康支出</w:t>
      </w:r>
      <w:r>
        <w:rPr>
          <w:rFonts w:ascii="仿宋_GB2312" w:hAnsi="黑体" w:eastAsia="仿宋_GB2312"/>
          <w:sz w:val="32"/>
          <w:szCs w:val="32"/>
        </w:rPr>
        <w:t>12</w:t>
      </w:r>
      <w:r>
        <w:rPr>
          <w:rFonts w:hint="eastAsia" w:ascii="仿宋_GB2312" w:hAnsi="黑体" w:eastAsia="仿宋_GB2312"/>
          <w:sz w:val="32"/>
          <w:szCs w:val="32"/>
        </w:rPr>
        <w:t>8.98万元、住房保障支出249万元。</w:t>
      </w:r>
    </w:p>
    <w:p>
      <w:pPr>
        <w:ind w:firstLine="640"/>
        <w:jc w:val="left"/>
        <w:rPr>
          <w:rFonts w:ascii="黑体" w:hAnsi="黑体" w:eastAsia="黑体"/>
          <w:sz w:val="32"/>
          <w:szCs w:val="32"/>
        </w:rPr>
      </w:pPr>
      <w:r>
        <w:rPr>
          <w:rFonts w:hint="eastAsia" w:ascii="黑体" w:hAnsi="黑体" w:eastAsia="黑体"/>
          <w:sz w:val="32"/>
          <w:szCs w:val="32"/>
        </w:rPr>
        <w:t>二、关于海南省政协办公厅部门2024年一般公共预算当年拨款情况说明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一般公共预算当年拨款6057.17万元，比上年预算数</w:t>
      </w:r>
      <w:r>
        <w:rPr>
          <w:rFonts w:hint="eastAsia" w:ascii="仿宋_GB2312" w:hAnsi="黑体" w:eastAsia="仿宋_GB2312" w:cs="仿宋_GB2312"/>
          <w:sz w:val="32"/>
          <w:szCs w:val="32"/>
        </w:rPr>
        <w:t>增加1270.56</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基本支出增加538.19万元；二是新增委员联系界别群众活动、共建自贸港委员在行动、网络协商、海南省智慧政协平台二期等项目，项目支出增加732.37万元</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一般公共服务（类）支出4836.33</w:t>
      </w:r>
      <w:r>
        <w:rPr>
          <w:rFonts w:hint="eastAsia" w:ascii="仿宋_GB2312" w:hAnsi="黑体" w:eastAsia="仿宋_GB2312"/>
          <w:sz w:val="32"/>
          <w:szCs w:val="32"/>
        </w:rPr>
        <w:t>万元，占</w:t>
      </w:r>
      <w:r>
        <w:rPr>
          <w:rFonts w:hint="eastAsia" w:ascii="仿宋_GB2312" w:hAnsi="黑体" w:eastAsia="仿宋_GB2312" w:cs="仿宋_GB2312"/>
          <w:sz w:val="32"/>
          <w:szCs w:val="32"/>
        </w:rPr>
        <w:t>79.85</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sz w:val="32"/>
          <w:szCs w:val="32"/>
        </w:rPr>
        <w:t>136.55</w:t>
      </w:r>
      <w:r>
        <w:rPr>
          <w:rFonts w:hint="eastAsia" w:ascii="仿宋_GB2312" w:hAnsi="黑体" w:eastAsia="仿宋_GB2312"/>
          <w:sz w:val="32"/>
          <w:szCs w:val="32"/>
        </w:rPr>
        <w:t>万元，占2.25%；社会保障和就业（类）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rPr>
        <w:t>706.31万元，占</w:t>
      </w:r>
      <w:r>
        <w:rPr>
          <w:rFonts w:hint="eastAsia" w:ascii="仿宋_GB2312" w:hAnsi="黑体" w:eastAsia="仿宋_GB2312" w:cs="仿宋_GB2312"/>
          <w:sz w:val="32"/>
          <w:szCs w:val="32"/>
        </w:rPr>
        <w:t>11.66</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sz w:val="32"/>
          <w:szCs w:val="32"/>
        </w:rPr>
        <w:t>12</w:t>
      </w:r>
      <w:r>
        <w:rPr>
          <w:rFonts w:hint="eastAsia" w:ascii="仿宋_GB2312" w:hAnsi="黑体" w:eastAsia="仿宋_GB2312"/>
          <w:sz w:val="32"/>
          <w:szCs w:val="32"/>
        </w:rPr>
        <w:t>8.98万元，占</w:t>
      </w:r>
      <w:r>
        <w:rPr>
          <w:rFonts w:hint="eastAsia" w:ascii="仿宋_GB2312" w:hAnsi="黑体" w:eastAsia="仿宋_GB2312" w:cs="仿宋_GB2312"/>
          <w:sz w:val="32"/>
          <w:szCs w:val="32"/>
        </w:rPr>
        <w:t>2.13</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249万元，占</w:t>
      </w:r>
      <w:r>
        <w:rPr>
          <w:rFonts w:hint="eastAsia" w:ascii="仿宋_GB2312" w:hAnsi="黑体" w:eastAsia="仿宋_GB2312" w:cs="仿宋_GB2312"/>
          <w:sz w:val="32"/>
          <w:szCs w:val="32"/>
        </w:rPr>
        <w:t>4.11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1.一般公共服务（类）政协事务（款）行政运行（项）2024年</w:t>
      </w:r>
      <w:r>
        <w:rPr>
          <w:rFonts w:hint="eastAsia" w:ascii="仿宋_GB2312" w:hAnsi="黑体" w:eastAsia="仿宋_GB2312"/>
          <w:sz w:val="32"/>
          <w:szCs w:val="32"/>
        </w:rPr>
        <w:t>预算数为</w:t>
      </w:r>
      <w:r>
        <w:rPr>
          <w:rFonts w:ascii="仿宋_GB2312" w:hAnsi="黑体" w:eastAsia="仿宋_GB2312"/>
          <w:sz w:val="32"/>
          <w:szCs w:val="32"/>
        </w:rPr>
        <w:t>2605.24</w:t>
      </w:r>
      <w:r>
        <w:rPr>
          <w:rFonts w:hint="eastAsia" w:ascii="仿宋_GB2312" w:hAnsi="黑体" w:eastAsia="仿宋_GB2312"/>
          <w:sz w:val="32"/>
          <w:szCs w:val="32"/>
        </w:rPr>
        <w:t>万元，比上年预算数增加455.97万元，主要是</w:t>
      </w:r>
      <w:r>
        <w:rPr>
          <w:rFonts w:hint="eastAsia" w:ascii="仿宋_GB2312" w:hAnsi="黑体" w:eastAsia="仿宋_GB2312" w:cs="仿宋_GB2312"/>
          <w:sz w:val="32"/>
          <w:szCs w:val="32"/>
        </w:rPr>
        <w:t>工资津补贴调增，人员费用相应增加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一般公共服务（类）政协事务（款）一般行政管理事务（项）2024年</w:t>
      </w:r>
      <w:r>
        <w:rPr>
          <w:rFonts w:hint="eastAsia" w:ascii="仿宋_GB2312" w:hAnsi="黑体" w:eastAsia="仿宋_GB2312"/>
          <w:sz w:val="32"/>
          <w:szCs w:val="32"/>
        </w:rPr>
        <w:t>预算数为65万元，比上年预算数</w:t>
      </w:r>
      <w:r>
        <w:rPr>
          <w:rFonts w:hint="eastAsia" w:ascii="仿宋_GB2312" w:hAnsi="黑体" w:eastAsia="仿宋_GB2312" w:cs="仿宋_GB2312"/>
          <w:sz w:val="32"/>
          <w:szCs w:val="32"/>
        </w:rPr>
        <w:t>减少12.8</w:t>
      </w:r>
      <w:r>
        <w:rPr>
          <w:rFonts w:hint="eastAsia" w:ascii="仿宋_GB2312" w:hAnsi="黑体" w:eastAsia="仿宋_GB2312"/>
          <w:sz w:val="32"/>
          <w:szCs w:val="32"/>
        </w:rPr>
        <w:t>万元，主要是“海南历代文化名人大传”项目结项，不再列入预算。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一般公共服务（类）政协事务（款）政协会议（项）2024</w:t>
      </w:r>
      <w:r>
        <w:rPr>
          <w:rFonts w:hint="eastAsia" w:ascii="仿宋_GB2312" w:hAnsi="黑体" w:eastAsia="仿宋_GB2312"/>
          <w:sz w:val="32"/>
          <w:szCs w:val="32"/>
        </w:rPr>
        <w:t>年预算数为300万元，比上年预算数减少20万元，主要原因是疫情放开后，会议防疫费用下降，费用相应减少。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一般公共服务（类）政协事务（款）参政议政（项）2024</w:t>
      </w:r>
      <w:r>
        <w:rPr>
          <w:rFonts w:hint="eastAsia" w:ascii="仿宋_GB2312" w:hAnsi="黑体" w:eastAsia="仿宋_GB2312"/>
          <w:sz w:val="32"/>
          <w:szCs w:val="32"/>
        </w:rPr>
        <w:t>年预算数为</w:t>
      </w:r>
      <w:r>
        <w:rPr>
          <w:rFonts w:ascii="仿宋_GB2312" w:hAnsi="黑体" w:eastAsia="仿宋_GB2312"/>
          <w:sz w:val="32"/>
          <w:szCs w:val="32"/>
        </w:rPr>
        <w:t>869.21</w:t>
      </w:r>
      <w:r>
        <w:rPr>
          <w:rFonts w:hint="eastAsia" w:ascii="仿宋_GB2312" w:hAnsi="黑体" w:eastAsia="仿宋_GB2312"/>
          <w:sz w:val="32"/>
          <w:szCs w:val="32"/>
        </w:rPr>
        <w:t>万元，比上年预算数增加435.83万元，主要原因是增加委员联系界别群众活动、共建自贸港委员在行动、网络协商等项目经费。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5.一般公共服务（类）政协事务（款）事业运行（项）2024</w:t>
      </w:r>
      <w:r>
        <w:rPr>
          <w:rFonts w:hint="eastAsia" w:ascii="仿宋_GB2312" w:hAnsi="黑体" w:eastAsia="仿宋_GB2312"/>
          <w:sz w:val="32"/>
          <w:szCs w:val="32"/>
        </w:rPr>
        <w:t>年预算数为172.62万元，比上年预算数</w:t>
      </w:r>
      <w:r>
        <w:rPr>
          <w:rFonts w:hint="eastAsia" w:ascii="仿宋_GB2312" w:hAnsi="黑体" w:eastAsia="仿宋_GB2312" w:cs="仿宋_GB2312"/>
          <w:sz w:val="32"/>
          <w:szCs w:val="32"/>
        </w:rPr>
        <w:t>增加16.68</w:t>
      </w:r>
      <w:r>
        <w:rPr>
          <w:rFonts w:hint="eastAsia" w:ascii="仿宋_GB2312" w:hAnsi="黑体" w:eastAsia="仿宋_GB2312"/>
          <w:sz w:val="32"/>
          <w:szCs w:val="32"/>
        </w:rPr>
        <w:t>万元，主要是工资津补贴调增，</w:t>
      </w:r>
      <w:r>
        <w:rPr>
          <w:rFonts w:hint="eastAsia" w:ascii="仿宋_GB2312" w:hAnsi="黑体" w:eastAsia="仿宋_GB2312" w:cs="仿宋_GB2312"/>
          <w:sz w:val="32"/>
          <w:szCs w:val="32"/>
        </w:rPr>
        <w:t>人员费用相应增加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6.一般公共服务（类）政协事务（款）其他政协事务支出（项）2024</w:t>
      </w:r>
      <w:r>
        <w:rPr>
          <w:rFonts w:hint="eastAsia" w:ascii="仿宋_GB2312" w:hAnsi="黑体" w:eastAsia="仿宋_GB2312"/>
          <w:sz w:val="32"/>
          <w:szCs w:val="32"/>
        </w:rPr>
        <w:t>年预算数为824.26万元，比上年预算数增加290.49万元，主要原因是增加中国南繁口述史、信息系统运行维护、海南省智慧政协平台二期等项目预算。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7.教育（类）进修及培训（款）培训支出（项）2024</w:t>
      </w:r>
      <w:r>
        <w:rPr>
          <w:rFonts w:hint="eastAsia" w:ascii="仿宋_GB2312" w:hAnsi="黑体" w:eastAsia="仿宋_GB2312"/>
          <w:sz w:val="32"/>
          <w:szCs w:val="32"/>
        </w:rPr>
        <w:t>年预算数为</w:t>
      </w:r>
      <w:r>
        <w:rPr>
          <w:rFonts w:ascii="仿宋_GB2312" w:hAnsi="黑体" w:eastAsia="仿宋_GB2312"/>
          <w:sz w:val="32"/>
          <w:szCs w:val="32"/>
        </w:rPr>
        <w:t>136.55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增加38.85</w:t>
      </w:r>
      <w:r>
        <w:rPr>
          <w:rFonts w:hint="eastAsia" w:ascii="仿宋_GB2312" w:hAnsi="黑体" w:eastAsia="仿宋_GB2312"/>
          <w:sz w:val="32"/>
          <w:szCs w:val="32"/>
        </w:rPr>
        <w:t>万元，主要原因是增加委员联系界别群众活动等培训工作。</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8.</w:t>
      </w:r>
      <w:r>
        <w:rPr>
          <w:rFonts w:hint="eastAsia" w:ascii="仿宋_GB2312" w:hAnsi="黑体" w:eastAsia="仿宋_GB2312" w:cs="仿宋_GB2312"/>
          <w:sz w:val="32"/>
          <w:szCs w:val="32"/>
        </w:rPr>
        <w:t>社会保障和就业支出（类）行政事业单位养老支出（款）机关事业单位基本养老保险缴费支出（项）2024年预算数为283.54万元，比上年预算数增加55.03万元，主要原因是工资津补贴调增，费用相应增加。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9.社会保障和就业支出（类）行政事业单位养老支出（款）机关事业单位职业年金缴费支出（项）2024</w:t>
      </w:r>
      <w:r>
        <w:rPr>
          <w:rFonts w:hint="eastAsia" w:ascii="仿宋_GB2312" w:hAnsi="黑体" w:eastAsia="仿宋_GB2312"/>
          <w:sz w:val="32"/>
          <w:szCs w:val="32"/>
        </w:rPr>
        <w:t>年预算数为422.77万元，比上年预算数减少60.74万元，主要原因是补记实职业年金费用减少，费用相应减少。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10.卫生健康支出（类）行政事业单位医疗（款）行政单位医疗（项）2024</w:t>
      </w:r>
      <w:r>
        <w:rPr>
          <w:rFonts w:hint="eastAsia" w:ascii="仿宋_GB2312" w:hAnsi="黑体" w:eastAsia="仿宋_GB2312"/>
          <w:sz w:val="32"/>
          <w:szCs w:val="32"/>
        </w:rPr>
        <w:t>年预算数为</w:t>
      </w:r>
      <w:r>
        <w:rPr>
          <w:rFonts w:ascii="仿宋_GB2312" w:hAnsi="黑体" w:eastAsia="仿宋_GB2312"/>
          <w:sz w:val="32"/>
          <w:szCs w:val="32"/>
        </w:rPr>
        <w:t>120.37</w:t>
      </w:r>
      <w:r>
        <w:rPr>
          <w:rFonts w:hint="eastAsia" w:ascii="仿宋_GB2312" w:hAnsi="黑体" w:eastAsia="仿宋_GB2312"/>
          <w:sz w:val="32"/>
          <w:szCs w:val="32"/>
        </w:rPr>
        <w:t>万元，比上年预算数增加26.21万元，主要原因</w:t>
      </w:r>
      <w:r>
        <w:rPr>
          <w:rFonts w:hint="eastAsia" w:ascii="仿宋_GB2312" w:hAnsi="黑体" w:eastAsia="仿宋_GB2312" w:cs="仿宋_GB2312"/>
          <w:sz w:val="32"/>
          <w:szCs w:val="32"/>
        </w:rPr>
        <w:t>是工资津补贴调增，费用相应增加。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11. 卫生健康支出（类）行政事业单位医疗（款）事业单位医疗（项）2024</w:t>
      </w:r>
      <w:r>
        <w:rPr>
          <w:rFonts w:hint="eastAsia" w:ascii="仿宋_GB2312" w:hAnsi="黑体" w:eastAsia="仿宋_GB2312"/>
          <w:sz w:val="32"/>
          <w:szCs w:val="32"/>
        </w:rPr>
        <w:t>年预算数为8.62万元，比上年预算数增加1.25万元，主要</w:t>
      </w:r>
      <w:r>
        <w:rPr>
          <w:rFonts w:hint="eastAsia" w:ascii="仿宋_GB2312" w:hAnsi="黑体" w:eastAsia="仿宋_GB2312" w:cs="仿宋_GB2312"/>
          <w:sz w:val="32"/>
          <w:szCs w:val="32"/>
        </w:rPr>
        <w:t>是工资津补贴调增，费用相应增加。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12.住房保障支出（类）住房改革支出（款）住房公积金（项）2024</w:t>
      </w:r>
      <w:r>
        <w:rPr>
          <w:rFonts w:hint="eastAsia" w:ascii="仿宋_GB2312" w:hAnsi="黑体" w:eastAsia="仿宋_GB2312"/>
          <w:sz w:val="32"/>
          <w:szCs w:val="32"/>
        </w:rPr>
        <w:t>年预算数为249万元，比上年预算数</w:t>
      </w:r>
      <w:r>
        <w:rPr>
          <w:rFonts w:hint="eastAsia" w:ascii="仿宋_GB2312" w:hAnsi="黑体" w:eastAsia="仿宋_GB2312" w:cs="仿宋_GB2312"/>
          <w:sz w:val="32"/>
          <w:szCs w:val="32"/>
        </w:rPr>
        <w:t>增加43.81</w:t>
      </w:r>
      <w:r>
        <w:rPr>
          <w:rFonts w:hint="eastAsia" w:ascii="仿宋_GB2312" w:hAnsi="黑体" w:eastAsia="仿宋_GB2312"/>
          <w:sz w:val="32"/>
          <w:szCs w:val="32"/>
        </w:rPr>
        <w:t>万元，主要原因是</w:t>
      </w:r>
      <w:r>
        <w:rPr>
          <w:rFonts w:hint="eastAsia" w:ascii="仿宋_GB2312" w:hAnsi="黑体" w:eastAsia="仿宋_GB2312" w:cs="仿宋_GB2312"/>
          <w:sz w:val="32"/>
          <w:szCs w:val="32"/>
        </w:rPr>
        <w:t>工资津补贴调增，费用相应增加。</w:t>
      </w:r>
    </w:p>
    <w:p>
      <w:pPr>
        <w:ind w:firstLine="640" w:firstLineChars="200"/>
        <w:rPr>
          <w:rFonts w:ascii="黑体" w:hAnsi="黑体" w:eastAsia="黑体"/>
          <w:sz w:val="32"/>
          <w:szCs w:val="32"/>
        </w:rPr>
      </w:pPr>
      <w:r>
        <w:rPr>
          <w:rFonts w:hint="eastAsia" w:ascii="黑体" w:hAnsi="黑体" w:eastAsia="黑体"/>
          <w:sz w:val="32"/>
          <w:szCs w:val="32"/>
        </w:rPr>
        <w:t>三、关于海南省政协办公厅部门2024年一般公共预算基本支出情况说明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rPr>
        <w:t>3862.15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3299.33</w:t>
      </w:r>
      <w:r>
        <w:rPr>
          <w:rFonts w:hint="eastAsia" w:ascii="仿宋_GB2312" w:hAnsi="黑体" w:eastAsia="仿宋_GB2312"/>
          <w:sz w:val="32"/>
          <w:szCs w:val="32"/>
        </w:rPr>
        <w:t>万元，主要包括：基本工资、津贴补贴、绩效工资、奖金、机关事业单位基本养老保险缴费、职业年金缴费、职工基本医疗保险缴费、其他社会保障缴费、住房公积金、医疗费、其他工资福利支出、邮电费、其他交通费用、奖励金等;</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562.81</w:t>
      </w:r>
      <w:r>
        <w:rPr>
          <w:rFonts w:hint="eastAsia" w:ascii="仿宋_GB2312" w:hAnsi="黑体" w:eastAsia="仿宋_GB2312"/>
          <w:sz w:val="32"/>
          <w:szCs w:val="32"/>
        </w:rPr>
        <w:t>万元，主要包括：其他社会保障缴费、其他工资福利支出、办公费、印刷费、邮电费、差旅费、因公出国（境）费用、维修（护）费、租赁费、会议费、培训费、公务接待费、专用材料费、劳务费、委托业务费、工会经费、公务用车运行维护费、其他交通费用、其他交通费用、其他商品和服务支出、生活补助、其他对个人和家庭的补助、办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四、海南省政协办公厅部门</w:t>
      </w:r>
      <w:r>
        <w:rPr>
          <w:rFonts w:ascii="黑体" w:hAnsi="黑体" w:eastAsia="黑体" w:cs="Times New Roman"/>
          <w:sz w:val="32"/>
          <w:shd w:val="clear" w:color="auto" w:fill="FFFFFF"/>
        </w:rPr>
        <w:t>202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rPr>
        <w:t>166</w:t>
      </w:r>
      <w:r>
        <w:rPr>
          <w:rFonts w:hint="eastAsia" w:ascii="仿宋_GB2312" w:hAnsi="黑体" w:eastAsia="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因公出国（境）经费105万元，较上年预算增长59%。增长的主要原因包括：根据海南公共外交协会的职能职责，为加强互联互通，2024年增加赴泰国、马来西亚、新加坡考察预算。</w:t>
      </w:r>
    </w:p>
    <w:p>
      <w:pPr>
        <w:pStyle w:val="13"/>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sz w:val="32"/>
          <w:szCs w:val="32"/>
        </w:rPr>
        <w:t>年度省级领导出访支出和省外办出访任务（受疫情影响，省外办未安排2020-2023年省领导出访任务），</w:t>
      </w:r>
      <w:r>
        <w:rPr>
          <w:rFonts w:hint="eastAsia" w:ascii="仿宋_GB2312" w:hAnsi="仿宋_GB2312" w:eastAsia="仿宋_GB2312" w:cs="仿宋_GB2312"/>
          <w:sz w:val="32"/>
          <w:shd w:val="clear" w:color="auto" w:fill="FFFFFF"/>
        </w:rPr>
        <w:t>拟安排出国（境）组</w:t>
      </w:r>
      <w:r>
        <w:rPr>
          <w:rFonts w:hint="eastAsia" w:ascii="仿宋_GB2312" w:hAnsi="仿宋_GB2312" w:eastAsia="仿宋_GB2312" w:cs="仿宋_GB2312"/>
          <w:sz w:val="32"/>
          <w:szCs w:val="32"/>
        </w:rPr>
        <w:t>8</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29</w:t>
      </w:r>
      <w:r>
        <w:rPr>
          <w:rFonts w:hint="eastAsia" w:ascii="仿宋_GB2312" w:hAnsi="仿宋_GB2312" w:eastAsia="仿宋_GB2312" w:cs="仿宋_GB2312"/>
          <w:sz w:val="32"/>
          <w:shd w:val="clear" w:color="auto" w:fill="FFFFFF"/>
        </w:rPr>
        <w:t>人。出国（境）团组主要包括省领导赴境外推动工作（2批次）：1、陪同省领导领导（待定）团组：目的地为（待定），人数为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，天数为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，主要任务为（待定）；2、港澳委员座谈会团组：目的地为香港和澳门，人数为6人，天数为8天，主要任务为联络政协委员工作。3、</w:t>
      </w:r>
      <w:r>
        <w:rPr>
          <w:rFonts w:hint="eastAsia" w:ascii="仿宋_GB2312" w:hAnsi="仿宋_GB2312" w:eastAsia="仿宋_GB2312" w:cs="仿宋_GB2312"/>
          <w:sz w:val="32"/>
          <w:szCs w:val="32"/>
        </w:rPr>
        <w:t>配合省政协领导赴香港、澳门的活动：</w:t>
      </w:r>
      <w:r>
        <w:rPr>
          <w:rFonts w:hint="eastAsia" w:ascii="仿宋_GB2312" w:hAnsi="仿宋_GB2312" w:eastAsia="仿宋_GB2312" w:cs="仿宋_GB2312"/>
          <w:sz w:val="32"/>
          <w:shd w:val="clear" w:color="auto" w:fill="FFFFFF"/>
        </w:rPr>
        <w:t>目的地为香港和澳门，人数为4人，天数为4天，</w:t>
      </w:r>
      <w:r>
        <w:rPr>
          <w:rFonts w:hint="eastAsia" w:ascii="仿宋_GB2312" w:hAnsi="仿宋_GB2312" w:eastAsia="仿宋_GB2312" w:cs="仿宋_GB2312"/>
          <w:sz w:val="32"/>
          <w:szCs w:val="32"/>
        </w:rPr>
        <w:t>主要任务为走访委员。4、受邀赴港澳出席庆典等活动（2批次）：</w:t>
      </w:r>
      <w:r>
        <w:rPr>
          <w:rFonts w:hint="eastAsia" w:ascii="仿宋_GB2312" w:hAnsi="仿宋_GB2312" w:eastAsia="仿宋_GB2312" w:cs="仿宋_GB2312"/>
          <w:sz w:val="32"/>
          <w:shd w:val="clear" w:color="auto" w:fill="FFFFFF"/>
        </w:rPr>
        <w:t>目的地为香港和澳门，人数为4人，天数为3天，</w:t>
      </w:r>
      <w:r>
        <w:rPr>
          <w:rFonts w:hint="eastAsia" w:ascii="仿宋_GB2312" w:hAnsi="仿宋_GB2312" w:eastAsia="仿宋_GB2312" w:cs="仿宋_GB2312"/>
          <w:sz w:val="32"/>
          <w:szCs w:val="32"/>
        </w:rPr>
        <w:t>主要任务为团结联谊。5、开展琼港合作专项活动：</w:t>
      </w:r>
      <w:r>
        <w:rPr>
          <w:rFonts w:hint="eastAsia" w:ascii="仿宋_GB2312" w:hAnsi="仿宋_GB2312" w:eastAsia="仿宋_GB2312" w:cs="仿宋_GB2312"/>
          <w:sz w:val="32"/>
          <w:shd w:val="clear" w:color="auto" w:fill="FFFFFF"/>
        </w:rPr>
        <w:t>目的地为香港和澳门，人数为6人，天数为4天，</w:t>
      </w:r>
      <w:r>
        <w:rPr>
          <w:rFonts w:hint="eastAsia" w:ascii="仿宋_GB2312" w:hAnsi="仿宋_GB2312" w:eastAsia="仿宋_GB2312" w:cs="仿宋_GB2312"/>
          <w:sz w:val="32"/>
          <w:szCs w:val="32"/>
        </w:rPr>
        <w:t>主要任务为促进合作与交流。6、开展公共外交出访活动：目的地为</w:t>
      </w:r>
      <w:r>
        <w:rPr>
          <w:rFonts w:hint="eastAsia" w:ascii="仿宋_GB2312" w:eastAsia="仿宋_GB2312"/>
          <w:sz w:val="32"/>
          <w:szCs w:val="32"/>
        </w:rPr>
        <w:t>泰国、马来西亚、新加坡，人数3人，天数为10天，主要任务为赴东南亚走访侨领，扩大海南朋友圈，加强互联互通。</w:t>
      </w:r>
    </w:p>
    <w:p>
      <w:pPr>
        <w:ind w:firstLine="630"/>
        <w:rPr>
          <w:rFonts w:hint="eastAsia" w:ascii="仿宋_GB2312" w:hAnsi="Calibri" w:eastAsia="仿宋_GB2312" w:cs="宋体"/>
          <w:kern w:val="0"/>
          <w:sz w:val="32"/>
          <w:szCs w:val="32"/>
          <w:lang w:val="en-US" w:eastAsia="zh-CN" w:bidi="ar-SA"/>
        </w:rPr>
      </w:pPr>
      <w:r>
        <w:rPr>
          <w:rFonts w:hint="eastAsia" w:ascii="仿宋_GB2312" w:hAnsi="Calibri" w:eastAsia="仿宋_GB2312" w:cs="宋体"/>
          <w:kern w:val="0"/>
          <w:sz w:val="32"/>
          <w:szCs w:val="32"/>
          <w:lang w:val="en-US" w:eastAsia="zh-CN" w:bidi="ar-SA"/>
        </w:rPr>
        <w:t>公务用车购置及运行费49万元（其中，公务用车购置费0万元，公务用车运行费49万元），较上年预算增长75%。增长的主要原因包括：2024年我厅增加车辆6辆，费用相应增加。公务车保有量14辆，计划购置0辆；</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公务接待费12</w:t>
      </w:r>
      <w:r>
        <w:rPr>
          <w:rFonts w:hint="eastAsia" w:ascii="仿宋_GB2312" w:hAnsi="仿宋_GB2312" w:eastAsia="仿宋_GB2312" w:cs="仿宋_GB2312"/>
          <w:sz w:val="32"/>
          <w:shd w:val="clear" w:color="auto" w:fill="FFFFFF"/>
        </w:rPr>
        <w:t>万元，与上年预算持平。计划接待34批约400人。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五、关于海南省政协办公厅部门2024年政府性基金预算当年拨款情况说明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海南省政协办公厅部门</w:t>
      </w:r>
      <w:r>
        <w:rPr>
          <w:rFonts w:hint="eastAsia" w:ascii="仿宋_GB2312" w:hAnsi="黑体" w:eastAsia="仿宋_GB2312" w:cs="仿宋_GB2312"/>
          <w:sz w:val="32"/>
          <w:szCs w:val="32"/>
        </w:rPr>
        <w:t>2024年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万元，与上年持平，主要是无政府性基本预算。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万元，与上年持平，主要是无</w:t>
      </w:r>
      <w:r>
        <w:rPr>
          <w:rFonts w:hint="eastAsia" w:ascii="仿宋_GB2312" w:hAnsi="黑体" w:eastAsia="仿宋_GB2312" w:cs="仿宋_GB2312"/>
          <w:sz w:val="32"/>
          <w:szCs w:val="32"/>
        </w:rPr>
        <w:t>政府性基金预算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w:t>
      </w:r>
      <w:r>
        <w:rPr>
          <w:rFonts w:hint="eastAsia" w:ascii="仿宋_GB2312" w:hAnsi="黑体" w:eastAsia="仿宋_GB2312" w:cs="仿宋_GB2312"/>
          <w:sz w:val="32"/>
          <w:szCs w:val="32"/>
        </w:rPr>
        <w:t>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六、关于海南省政协办公厅部门2024年收支预算情况的总体说明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按照综合预算原则，海南省政协办公厅部门所有收入和支出均纳入部门预算管理。收入包括：一般公共预算收入、其他收入</w:t>
      </w:r>
      <w:r>
        <w:rPr>
          <w:rFonts w:hint="eastAsia" w:ascii="仿宋_GB2312" w:hAnsi="黑体" w:eastAsia="仿宋_GB2312"/>
          <w:sz w:val="32"/>
          <w:szCs w:val="32"/>
        </w:rPr>
        <w:t>；支出包括：一般公共服务支出、教育支出、社会保障和就业支出、卫生健康支出、住房保障支出。</w:t>
      </w:r>
      <w:r>
        <w:rPr>
          <w:rFonts w:hint="eastAsia" w:ascii="仿宋_GB2312" w:hAnsi="黑体" w:eastAsia="仿宋_GB2312" w:cs="仿宋_GB2312"/>
          <w:sz w:val="32"/>
          <w:szCs w:val="32"/>
        </w:rPr>
        <w:t>海南省政协办公厅部门2024年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6078.6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七、关于海南省政协办公厅部门2024年收入预算情况说明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海南省政协办公厅部门2024年</w:t>
      </w:r>
      <w:r>
        <w:rPr>
          <w:rFonts w:hint="eastAsia" w:ascii="仿宋_GB2312" w:hAnsi="黑体" w:eastAsia="仿宋_GB2312"/>
          <w:sz w:val="32"/>
          <w:szCs w:val="32"/>
        </w:rPr>
        <w:t>收入预算</w:t>
      </w:r>
      <w:r>
        <w:rPr>
          <w:rFonts w:hint="eastAsia" w:ascii="仿宋_GB2312" w:hAnsi="黑体" w:eastAsia="仿宋_GB2312" w:cs="仿宋_GB2312"/>
          <w:sz w:val="32"/>
          <w:szCs w:val="32"/>
        </w:rPr>
        <w:t>6078.6</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万元，其中：上年结转</w:t>
      </w:r>
      <w:r>
        <w:rPr>
          <w:rFonts w:ascii="仿宋_GB2312" w:hAnsi="黑体" w:eastAsia="仿宋_GB2312" w:cs="仿宋_GB2312"/>
          <w:sz w:val="32"/>
          <w:szCs w:val="32"/>
        </w:rPr>
        <w:t>12.43</w:t>
      </w:r>
      <w:r>
        <w:rPr>
          <w:rFonts w:hint="eastAsia" w:ascii="仿宋_GB2312" w:hAnsi="黑体" w:eastAsia="仿宋_GB2312"/>
          <w:sz w:val="32"/>
          <w:szCs w:val="32"/>
        </w:rPr>
        <w:t>万元，占</w:t>
      </w:r>
      <w:r>
        <w:rPr>
          <w:rFonts w:hint="eastAsia" w:ascii="仿宋_GB2312" w:hAnsi="黑体" w:eastAsia="仿宋_GB2312" w:cs="仿宋_GB2312"/>
          <w:sz w:val="32"/>
          <w:szCs w:val="32"/>
        </w:rPr>
        <w:t>0.2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6057.17</w:t>
      </w:r>
      <w:bookmarkStart w:id="0" w:name="_GoBack"/>
      <w:bookmarkEnd w:id="0"/>
      <w:r>
        <w:rPr>
          <w:rFonts w:hint="eastAsia" w:ascii="仿宋_GB2312" w:hAnsi="黑体" w:eastAsia="仿宋_GB2312"/>
          <w:sz w:val="32"/>
          <w:szCs w:val="32"/>
        </w:rPr>
        <w:t>万元，占</w:t>
      </w:r>
      <w:r>
        <w:rPr>
          <w:rFonts w:hint="eastAsia" w:ascii="仿宋_GB2312" w:hAnsi="黑体" w:eastAsia="仿宋_GB2312" w:cs="仿宋_GB2312"/>
          <w:sz w:val="32"/>
          <w:szCs w:val="32"/>
        </w:rPr>
        <w:t>99.65</w:t>
      </w:r>
      <w:r>
        <w:rPr>
          <w:rFonts w:hint="eastAsia" w:ascii="仿宋_GB2312" w:hAnsi="黑体" w:eastAsia="仿宋_GB2312"/>
          <w:sz w:val="32"/>
          <w:szCs w:val="32"/>
        </w:rPr>
        <w:t>%；其他收入</w:t>
      </w:r>
      <w:r>
        <w:rPr>
          <w:rFonts w:hint="eastAsia" w:ascii="仿宋_GB2312" w:hAnsi="黑体" w:eastAsia="仿宋_GB2312" w:cs="仿宋_GB2312"/>
          <w:sz w:val="32"/>
          <w:szCs w:val="32"/>
        </w:rPr>
        <w:t>9</w:t>
      </w:r>
      <w:r>
        <w:rPr>
          <w:rFonts w:hint="eastAsia" w:ascii="仿宋_GB2312" w:hAnsi="黑体" w:eastAsia="仿宋_GB2312"/>
          <w:sz w:val="32"/>
          <w:szCs w:val="32"/>
        </w:rPr>
        <w:t>万元，占</w:t>
      </w:r>
      <w:r>
        <w:rPr>
          <w:rFonts w:hint="eastAsia" w:ascii="仿宋_GB2312" w:hAnsi="黑体" w:eastAsia="仿宋_GB2312" w:cs="仿宋_GB2312"/>
          <w:sz w:val="32"/>
          <w:szCs w:val="32"/>
        </w:rPr>
        <w:t>0.15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1282.99万元，主要是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基本支出相应增加；二是新增委员联系界别群众活动、共建自贸港委员在行动、网络协商等项目，项目支出相应增加</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八、关于海南省政协办公厅部门2024年支出预算情况说明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海南省政协办公厅部门2024年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6078.6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3862.14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63.54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2216.45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36.46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lang w:val="en-US" w:eastAsia="zh-CN"/>
        </w:rPr>
        <w:t>1282.99</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基本支出相应增加；二是新增委员联系界别群众活动、共建自贸港委员在行动、网络协商、海南省智慧政协平台二期等项目，项目支出相应增加</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2024年海南省政协办公厅部门的机关运行经费预算562.81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2024年海南省政协办公厅部门政府采购预算总额449.7</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225.72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223.98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截至2023年</w:t>
      </w:r>
      <w:r>
        <w:rPr>
          <w:rFonts w:hint="eastAsia" w:ascii="仿宋_GB2312" w:hAnsi="黑体" w:eastAsia="仿宋_GB2312"/>
          <w:sz w:val="32"/>
          <w:szCs w:val="32"/>
        </w:rPr>
        <w:t>12月31日，</w:t>
      </w:r>
      <w:r>
        <w:rPr>
          <w:rFonts w:hint="eastAsia" w:ascii="仿宋_GB2312" w:hAnsi="黑体" w:eastAsia="仿宋_GB2312" w:cs="仿宋_GB2312"/>
          <w:sz w:val="32"/>
          <w:szCs w:val="32"/>
        </w:rPr>
        <w:t>海南省政协办公厅部门共有车辆1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辆。单位价值100万元以上设备0台（套）。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2024年海南省政协办公厅部门18个项目实行绩效目标管理，涉及一般公共预算2216.45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1.政协全体会议项目，预算安排300万元，主要用于省政协八届二次会议支出，绩效目标是召开省政协八届二次会议工作。</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2.政治协商项目，预算安排239.86万元，主要用于开展政治协商相关工作支出，绩效目标一是召开常委会议等各类会议；二是开展政治协商工作调研。</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3.海南省智慧政协平台二期项目，预算安排223.98万元，主要用于海南省智慧政协平台二期软件的开发支出，绩效目标是完成省政协智慧平台二期项目开发建设工作，并通过相关部门的验收。</w:t>
      </w: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华文中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65C"/>
    <w:rsid w:val="00037769"/>
    <w:rsid w:val="00040937"/>
    <w:rsid w:val="0006465B"/>
    <w:rsid w:val="0006565C"/>
    <w:rsid w:val="00095512"/>
    <w:rsid w:val="000A63CA"/>
    <w:rsid w:val="0016412A"/>
    <w:rsid w:val="001F0EE5"/>
    <w:rsid w:val="0020638E"/>
    <w:rsid w:val="002774E4"/>
    <w:rsid w:val="002A26E8"/>
    <w:rsid w:val="00344320"/>
    <w:rsid w:val="003C7CAB"/>
    <w:rsid w:val="003E1257"/>
    <w:rsid w:val="00405D24"/>
    <w:rsid w:val="00487220"/>
    <w:rsid w:val="005465CF"/>
    <w:rsid w:val="005761DB"/>
    <w:rsid w:val="00581782"/>
    <w:rsid w:val="00592ECD"/>
    <w:rsid w:val="00593A73"/>
    <w:rsid w:val="00593B6C"/>
    <w:rsid w:val="005D13FB"/>
    <w:rsid w:val="00663A2E"/>
    <w:rsid w:val="00690D1D"/>
    <w:rsid w:val="00753034"/>
    <w:rsid w:val="007A268B"/>
    <w:rsid w:val="007F3413"/>
    <w:rsid w:val="009B0FDE"/>
    <w:rsid w:val="009D2CB5"/>
    <w:rsid w:val="009D4D6F"/>
    <w:rsid w:val="009F7E02"/>
    <w:rsid w:val="00A460D4"/>
    <w:rsid w:val="00A567A1"/>
    <w:rsid w:val="00AC7EE8"/>
    <w:rsid w:val="00AE0290"/>
    <w:rsid w:val="00AF0A22"/>
    <w:rsid w:val="00AF1A76"/>
    <w:rsid w:val="00B36B24"/>
    <w:rsid w:val="00B633FA"/>
    <w:rsid w:val="00B63853"/>
    <w:rsid w:val="00B922BB"/>
    <w:rsid w:val="00BA573F"/>
    <w:rsid w:val="00BE5DBB"/>
    <w:rsid w:val="00BE7971"/>
    <w:rsid w:val="00C22151"/>
    <w:rsid w:val="00C32990"/>
    <w:rsid w:val="00CB3E6F"/>
    <w:rsid w:val="00D64B59"/>
    <w:rsid w:val="00D674B5"/>
    <w:rsid w:val="00D90DD5"/>
    <w:rsid w:val="00DB7DAD"/>
    <w:rsid w:val="00E629C0"/>
    <w:rsid w:val="00E664A8"/>
    <w:rsid w:val="00EA5AFE"/>
    <w:rsid w:val="00F6785B"/>
    <w:rsid w:val="00FC3070"/>
    <w:rsid w:val="00FF57EE"/>
    <w:rsid w:val="0DE932BA"/>
    <w:rsid w:val="0FFFB95F"/>
    <w:rsid w:val="14DDB108"/>
    <w:rsid w:val="17BF12E7"/>
    <w:rsid w:val="186EE8A2"/>
    <w:rsid w:val="1BDBC41B"/>
    <w:rsid w:val="1D6A047B"/>
    <w:rsid w:val="2CFFD3C3"/>
    <w:rsid w:val="2ED619A3"/>
    <w:rsid w:val="2EFFE82C"/>
    <w:rsid w:val="2F737F6C"/>
    <w:rsid w:val="2FFFAC4B"/>
    <w:rsid w:val="31BFB4A5"/>
    <w:rsid w:val="355FDDA6"/>
    <w:rsid w:val="35A8568C"/>
    <w:rsid w:val="377D722D"/>
    <w:rsid w:val="37DF1B78"/>
    <w:rsid w:val="37FF8E74"/>
    <w:rsid w:val="39DB0ACE"/>
    <w:rsid w:val="3A7E409F"/>
    <w:rsid w:val="3BA739A2"/>
    <w:rsid w:val="3BF86B90"/>
    <w:rsid w:val="3BFFB390"/>
    <w:rsid w:val="3CFB32B0"/>
    <w:rsid w:val="3CFF2C80"/>
    <w:rsid w:val="3D1F546F"/>
    <w:rsid w:val="3D7F8906"/>
    <w:rsid w:val="3DAF3DBC"/>
    <w:rsid w:val="3DED0346"/>
    <w:rsid w:val="3DFB28D4"/>
    <w:rsid w:val="3DFF02BB"/>
    <w:rsid w:val="3EFF9EF2"/>
    <w:rsid w:val="3FDFA56A"/>
    <w:rsid w:val="3FFD61F8"/>
    <w:rsid w:val="3FFF4F98"/>
    <w:rsid w:val="451E4EB0"/>
    <w:rsid w:val="47FE9D16"/>
    <w:rsid w:val="4BBD2CF4"/>
    <w:rsid w:val="4E796B65"/>
    <w:rsid w:val="4F7FD717"/>
    <w:rsid w:val="50DFE0B1"/>
    <w:rsid w:val="54F2FA6A"/>
    <w:rsid w:val="55575CF1"/>
    <w:rsid w:val="55BBEC2A"/>
    <w:rsid w:val="567F0CF3"/>
    <w:rsid w:val="5B67A544"/>
    <w:rsid w:val="5BFF6C5A"/>
    <w:rsid w:val="5BFFA144"/>
    <w:rsid w:val="5DDDAC6A"/>
    <w:rsid w:val="5DFA8AC2"/>
    <w:rsid w:val="5E2668B7"/>
    <w:rsid w:val="5E71E5F6"/>
    <w:rsid w:val="5EBF11E8"/>
    <w:rsid w:val="5EFBF53F"/>
    <w:rsid w:val="5F27F9DA"/>
    <w:rsid w:val="5F3F561E"/>
    <w:rsid w:val="5FB7ADC3"/>
    <w:rsid w:val="5FBD045C"/>
    <w:rsid w:val="5FBD3A89"/>
    <w:rsid w:val="5FDF7CB9"/>
    <w:rsid w:val="63DF448A"/>
    <w:rsid w:val="668F1E16"/>
    <w:rsid w:val="67BF4579"/>
    <w:rsid w:val="69F9D649"/>
    <w:rsid w:val="6BBF36ED"/>
    <w:rsid w:val="6D8F4E90"/>
    <w:rsid w:val="6D9F1685"/>
    <w:rsid w:val="6DEB0286"/>
    <w:rsid w:val="6E3BAD97"/>
    <w:rsid w:val="6EFE309C"/>
    <w:rsid w:val="6F5FADA5"/>
    <w:rsid w:val="6F6E6A83"/>
    <w:rsid w:val="6F8D46DB"/>
    <w:rsid w:val="6FD7D034"/>
    <w:rsid w:val="6FDB1131"/>
    <w:rsid w:val="6FFC4FE4"/>
    <w:rsid w:val="717D606B"/>
    <w:rsid w:val="72C34D0C"/>
    <w:rsid w:val="73CF45A9"/>
    <w:rsid w:val="73DD5824"/>
    <w:rsid w:val="73DF4BDA"/>
    <w:rsid w:val="73FF1419"/>
    <w:rsid w:val="7637CB38"/>
    <w:rsid w:val="779F28CE"/>
    <w:rsid w:val="77BCB0B1"/>
    <w:rsid w:val="77BF65F0"/>
    <w:rsid w:val="77E7D3C0"/>
    <w:rsid w:val="7AD55F4A"/>
    <w:rsid w:val="7BAFB7EA"/>
    <w:rsid w:val="7BF736D2"/>
    <w:rsid w:val="7BFBA180"/>
    <w:rsid w:val="7BFFAC21"/>
    <w:rsid w:val="7C5FEF10"/>
    <w:rsid w:val="7C7F3672"/>
    <w:rsid w:val="7D79F807"/>
    <w:rsid w:val="7DEF35AF"/>
    <w:rsid w:val="7DFB221A"/>
    <w:rsid w:val="7DFB5D26"/>
    <w:rsid w:val="7DFFEDA6"/>
    <w:rsid w:val="7DFFF715"/>
    <w:rsid w:val="7E0D72E8"/>
    <w:rsid w:val="7E9BF043"/>
    <w:rsid w:val="7ECC8B86"/>
    <w:rsid w:val="7EFBE832"/>
    <w:rsid w:val="7EFDD520"/>
    <w:rsid w:val="7F0F5BB7"/>
    <w:rsid w:val="7F36D5D7"/>
    <w:rsid w:val="7F7F05F1"/>
    <w:rsid w:val="7F7FC7DF"/>
    <w:rsid w:val="7F8FC40C"/>
    <w:rsid w:val="7FBFF781"/>
    <w:rsid w:val="7FCF5560"/>
    <w:rsid w:val="7FDB8ED4"/>
    <w:rsid w:val="7FEDEC67"/>
    <w:rsid w:val="7FEE95A1"/>
    <w:rsid w:val="7FEF84DD"/>
    <w:rsid w:val="7FFF1AA1"/>
    <w:rsid w:val="7FFFB819"/>
    <w:rsid w:val="7FFFDC33"/>
    <w:rsid w:val="7FFFF407"/>
    <w:rsid w:val="8B7FBDFA"/>
    <w:rsid w:val="8FFFF695"/>
    <w:rsid w:val="9D2F9132"/>
    <w:rsid w:val="9EFFD72C"/>
    <w:rsid w:val="9FFF7ECE"/>
    <w:rsid w:val="A9AF4FDF"/>
    <w:rsid w:val="ABBF3834"/>
    <w:rsid w:val="AE7D34F7"/>
    <w:rsid w:val="AF3FFA9B"/>
    <w:rsid w:val="AF7F81DC"/>
    <w:rsid w:val="AFDD22A4"/>
    <w:rsid w:val="AFFDFB92"/>
    <w:rsid w:val="AFFFB3CA"/>
    <w:rsid w:val="B2EE1E01"/>
    <w:rsid w:val="B3CFA13E"/>
    <w:rsid w:val="B7B59793"/>
    <w:rsid w:val="B7EFFFF5"/>
    <w:rsid w:val="B7F38EC8"/>
    <w:rsid w:val="B7FB8914"/>
    <w:rsid w:val="B94F0CD1"/>
    <w:rsid w:val="BBFFDDCC"/>
    <w:rsid w:val="BCDED79A"/>
    <w:rsid w:val="BD7949D0"/>
    <w:rsid w:val="BD8BD53C"/>
    <w:rsid w:val="BDB68F9E"/>
    <w:rsid w:val="BEB7040A"/>
    <w:rsid w:val="BEBD6112"/>
    <w:rsid w:val="BFEFE953"/>
    <w:rsid w:val="BFF7C79A"/>
    <w:rsid w:val="BFFBC60E"/>
    <w:rsid w:val="BFFD4DBB"/>
    <w:rsid w:val="C6EF82F6"/>
    <w:rsid w:val="C7FD7568"/>
    <w:rsid w:val="C9BB389F"/>
    <w:rsid w:val="C9EB63BA"/>
    <w:rsid w:val="CB5BB4E5"/>
    <w:rsid w:val="CF9D68DE"/>
    <w:rsid w:val="D17E56E9"/>
    <w:rsid w:val="D7DB10BF"/>
    <w:rsid w:val="D97F626E"/>
    <w:rsid w:val="DB7DE525"/>
    <w:rsid w:val="DCAE9A17"/>
    <w:rsid w:val="DF9F8297"/>
    <w:rsid w:val="DFB214E5"/>
    <w:rsid w:val="DFBF4ECC"/>
    <w:rsid w:val="DFEB2756"/>
    <w:rsid w:val="DFF56D31"/>
    <w:rsid w:val="E22E0085"/>
    <w:rsid w:val="E37BD50A"/>
    <w:rsid w:val="E3FDA975"/>
    <w:rsid w:val="E5DB96FD"/>
    <w:rsid w:val="E7DF3A63"/>
    <w:rsid w:val="E8F648D6"/>
    <w:rsid w:val="EAC7A89A"/>
    <w:rsid w:val="EB9EF0B1"/>
    <w:rsid w:val="EBEBBBC5"/>
    <w:rsid w:val="EDC3CC6D"/>
    <w:rsid w:val="EDFFF409"/>
    <w:rsid w:val="EEF1981E"/>
    <w:rsid w:val="EEFFF677"/>
    <w:rsid w:val="EF0FB3E7"/>
    <w:rsid w:val="EF3F6841"/>
    <w:rsid w:val="EF4F270F"/>
    <w:rsid w:val="EF6C2338"/>
    <w:rsid w:val="EFBB2087"/>
    <w:rsid w:val="EFEE0D84"/>
    <w:rsid w:val="EFFFC7C3"/>
    <w:rsid w:val="F09BED94"/>
    <w:rsid w:val="F17F85B7"/>
    <w:rsid w:val="F37F41C9"/>
    <w:rsid w:val="F76E98F8"/>
    <w:rsid w:val="F7712B6D"/>
    <w:rsid w:val="F77E04C8"/>
    <w:rsid w:val="F7F35424"/>
    <w:rsid w:val="F7FB38EA"/>
    <w:rsid w:val="F7FD6FDB"/>
    <w:rsid w:val="F7FF6AF1"/>
    <w:rsid w:val="F932642F"/>
    <w:rsid w:val="F9AF62A8"/>
    <w:rsid w:val="FAF1DE58"/>
    <w:rsid w:val="FBBE900A"/>
    <w:rsid w:val="FBDED284"/>
    <w:rsid w:val="FBF9D7F3"/>
    <w:rsid w:val="FC6FBB23"/>
    <w:rsid w:val="FDBFE501"/>
    <w:rsid w:val="FDFA825D"/>
    <w:rsid w:val="FE37C535"/>
    <w:rsid w:val="FE7B476E"/>
    <w:rsid w:val="FEE64312"/>
    <w:rsid w:val="FEEF1E39"/>
    <w:rsid w:val="FEFBB546"/>
    <w:rsid w:val="FEFFCF20"/>
    <w:rsid w:val="FF374B7D"/>
    <w:rsid w:val="FF3EB985"/>
    <w:rsid w:val="FF56382D"/>
    <w:rsid w:val="FF56C708"/>
    <w:rsid w:val="FF5CB4BF"/>
    <w:rsid w:val="FF5F5C3D"/>
    <w:rsid w:val="FF661E92"/>
    <w:rsid w:val="FF7C1A10"/>
    <w:rsid w:val="FF7FF02D"/>
    <w:rsid w:val="FFABE332"/>
    <w:rsid w:val="FFDFFE4F"/>
    <w:rsid w:val="FFE63974"/>
    <w:rsid w:val="FFED0C24"/>
    <w:rsid w:val="FFEFE3DB"/>
    <w:rsid w:val="FFF3DDB9"/>
    <w:rsid w:val="FFFF11DD"/>
    <w:rsid w:val="FFFF34BE"/>
    <w:rsid w:val="FFFF55C4"/>
    <w:rsid w:val="FFFF7F4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修订1"/>
    <w:hidden/>
    <w:unhideWhenUsed/>
    <w:qFormat/>
    <w:uiPriority w:val="99"/>
    <w:rPr>
      <w:rFonts w:ascii="Calibri" w:hAnsi="Calibri" w:eastAsia="宋体" w:cs="黑体"/>
      <w:kern w:val="2"/>
      <w:sz w:val="21"/>
      <w:szCs w:val="22"/>
      <w:lang w:val="en-US" w:eastAsia="zh-CN" w:bidi="ar-SA"/>
    </w:rPr>
  </w:style>
  <w:style w:type="character" w:customStyle="1" w:styleId="12">
    <w:name w:val="批注框文本 Char"/>
    <w:basedOn w:val="6"/>
    <w:link w:val="2"/>
    <w:semiHidden/>
    <w:qFormat/>
    <w:uiPriority w:val="0"/>
    <w:rPr>
      <w:rFonts w:ascii="Calibri" w:hAnsi="Calibri" w:cs="黑体"/>
      <w:kern w:val="2"/>
      <w:sz w:val="18"/>
      <w:szCs w:val="18"/>
    </w:rPr>
  </w:style>
  <w:style w:type="paragraph" w:customStyle="1" w:styleId="13">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944</Words>
  <Characters>5382</Characters>
  <Lines>44</Lines>
  <Paragraphs>12</Paragraphs>
  <TotalTime>12</TotalTime>
  <ScaleCrop>false</ScaleCrop>
  <LinksUpToDate>false</LinksUpToDate>
  <CharactersWithSpaces>6314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2017-02-11T23:31:00Z</dcterms:created>
  <dc:creator>null,null,总收发</dc:creator>
  <cp:lastModifiedBy>uos</cp:lastModifiedBy>
  <dcterms:modified xsi:type="dcterms:W3CDTF">2024-03-07T11:42:06Z</dcterms:modified>
  <dc:title>××年××部门（单位）预算</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32DC242BE2F4ABB6AB98BC652EDE7CDA</vt:lpwstr>
  </property>
</Properties>
</file>